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86B" w:rsidRDefault="00CC086B" w:rsidP="00523BDB">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C7B44">
        <w:rPr>
          <w:rFonts w:ascii="Palatino Linotype" w:hAnsi="Palatino Linotype" w:cs="Arial"/>
          <w:b/>
        </w:rPr>
        <w:t>TRIGÉSIMA QUINTA</w:t>
      </w:r>
      <w:r>
        <w:rPr>
          <w:rFonts w:ascii="Palatino Linotype" w:hAnsi="Palatino Linotype" w:cs="Arial"/>
          <w:b/>
        </w:rPr>
        <w:t xml:space="preserve"> </w:t>
      </w:r>
      <w:r w:rsidRPr="0007653D">
        <w:rPr>
          <w:rFonts w:ascii="Palatino Linotype" w:hAnsi="Palatino Linotype" w:cs="Arial"/>
          <w:b/>
        </w:rPr>
        <w:t xml:space="preserve">SESIÓN ORDINARIA DE </w:t>
      </w:r>
      <w:r w:rsidR="00BC7B44">
        <w:rPr>
          <w:rFonts w:ascii="Palatino Linotype" w:hAnsi="Palatino Linotype" w:cs="Arial"/>
          <w:b/>
        </w:rPr>
        <w:t xml:space="preserve">VEINTISÉIS DE SEPTIEMBRE </w:t>
      </w:r>
      <w:r>
        <w:rPr>
          <w:rFonts w:ascii="Palatino Linotype" w:hAnsi="Palatino Linotype" w:cs="Arial"/>
          <w:b/>
        </w:rPr>
        <w:t>DE DOS MIL DIECIOCHO</w:t>
      </w:r>
      <w:r w:rsidRPr="0007653D">
        <w:rPr>
          <w:rFonts w:ascii="Palatino Linotype" w:hAnsi="Palatino Linotype" w:cs="Arial"/>
          <w:b/>
        </w:rPr>
        <w:t>, EN EL RECURSO DE REVISIÓN 0</w:t>
      </w:r>
      <w:r w:rsidR="00BC7B44">
        <w:rPr>
          <w:rFonts w:ascii="Palatino Linotype" w:hAnsi="Palatino Linotype" w:cs="Arial"/>
          <w:b/>
        </w:rPr>
        <w:t>2556</w:t>
      </w:r>
      <w:r>
        <w:rPr>
          <w:rFonts w:ascii="Palatino Linotype" w:hAnsi="Palatino Linotype" w:cs="Arial"/>
          <w:b/>
        </w:rPr>
        <w:t>/INFOEM/IP/RR/2018</w:t>
      </w:r>
      <w:r w:rsidRPr="00E42755">
        <w:rPr>
          <w:rFonts w:ascii="Palatino Linotype" w:eastAsia="Calibri" w:hAnsi="Palatino Linotype" w:cs="Arial"/>
          <w:b/>
          <w:color w:val="000000"/>
        </w:rPr>
        <w:t>.</w:t>
      </w:r>
    </w:p>
    <w:p w:rsidR="00CF5BD0" w:rsidRPr="00CF5BD0" w:rsidRDefault="00CF5BD0" w:rsidP="00523BDB">
      <w:pPr>
        <w:widowControl w:val="0"/>
        <w:spacing w:before="100" w:beforeAutospacing="1" w:after="100" w:afterAutospacing="1" w:line="360" w:lineRule="auto"/>
        <w:ind w:right="-164"/>
        <w:jc w:val="both"/>
        <w:rPr>
          <w:rFonts w:ascii="Palatino Linotype" w:eastAsia="Calibri" w:hAnsi="Palatino Linotype" w:cs="Arial"/>
          <w:b/>
          <w:color w:val="000000"/>
          <w:sz w:val="4"/>
          <w:szCs w:val="4"/>
        </w:rPr>
      </w:pPr>
    </w:p>
    <w:p w:rsidR="00CC086B" w:rsidRDefault="00CC086B" w:rsidP="00523BDB">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BC7B44">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BC7B44">
        <w:rPr>
          <w:rFonts w:ascii="Palatino Linotype" w:eastAsia="Calibri" w:hAnsi="Palatino Linotype" w:cs="Arial"/>
          <w:b/>
          <w:color w:val="000000"/>
        </w:rPr>
        <w:t>2556</w:t>
      </w:r>
      <w:r>
        <w:rPr>
          <w:rFonts w:ascii="Palatino Linotype" w:eastAsia="Calibri" w:hAnsi="Palatino Linotype" w:cs="Arial"/>
          <w:b/>
          <w:color w:val="000000"/>
        </w:rPr>
        <w:t>/</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sidRPr="003B7727">
        <w:rPr>
          <w:rFonts w:ascii="Palatino Linotype" w:hAnsi="Palatino Linotype" w:cs="Arial"/>
          <w:b/>
        </w:rPr>
        <w:t>J</w:t>
      </w:r>
      <w:r>
        <w:rPr>
          <w:rFonts w:ascii="Palatino Linotype" w:hAnsi="Palatino Linotype" w:cs="Arial"/>
          <w:b/>
        </w:rPr>
        <w:t>AVIER MARTÍNEZ CRUZ</w:t>
      </w:r>
      <w:r w:rsidRPr="0007653D">
        <w:rPr>
          <w:rFonts w:ascii="Palatino Linotype" w:hAnsi="Palatino Linotype" w:cs="Arial"/>
        </w:rPr>
        <w:t xml:space="preserve">, </w:t>
      </w:r>
      <w:r>
        <w:rPr>
          <w:rFonts w:ascii="Palatino Linotype" w:hAnsi="Palatino Linotype" w:cs="Arial"/>
        </w:rPr>
        <w:t>que es del tenor siguiente.</w:t>
      </w:r>
    </w:p>
    <w:p w:rsidR="00CC086B" w:rsidRDefault="00CC086B" w:rsidP="00523BDB">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xml:space="preserve">, tocante </w:t>
      </w:r>
      <w:r w:rsidR="00BC7B44">
        <w:rPr>
          <w:rFonts w:ascii="Palatino Linotype" w:hAnsi="Palatino Linotype"/>
        </w:rPr>
        <w:t xml:space="preserve">a parte de la </w:t>
      </w:r>
      <w:r>
        <w:rPr>
          <w:rFonts w:ascii="Palatino Linotype" w:hAnsi="Palatino Linotype"/>
        </w:rPr>
        <w:t>información de la que se ordena la entrega.</w:t>
      </w:r>
    </w:p>
    <w:p w:rsidR="00737E85" w:rsidRDefault="00CC086B" w:rsidP="00523BDB">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al y como quedó debidamente asentado en la resoluci</w:t>
      </w:r>
      <w:r w:rsidR="008F1C73">
        <w:rPr>
          <w:rFonts w:ascii="Palatino Linotype" w:hAnsi="Palatino Linotype"/>
        </w:rPr>
        <w:t>ón materia del presente voto, la</w:t>
      </w:r>
      <w:r w:rsidRPr="00D93A88">
        <w:rPr>
          <w:rFonts w:ascii="Palatino Linotype" w:hAnsi="Palatino Linotype"/>
        </w:rPr>
        <w:t xml:space="preserve"> particular </w:t>
      </w:r>
      <w:r>
        <w:rPr>
          <w:rFonts w:ascii="Palatino Linotype" w:hAnsi="Palatino Linotype"/>
        </w:rPr>
        <w:t>requirió de</w:t>
      </w:r>
      <w:r w:rsidR="00737E85">
        <w:rPr>
          <w:rFonts w:ascii="Palatino Linotype" w:hAnsi="Palatino Linotype"/>
        </w:rPr>
        <w:t xml:space="preserve">l </w:t>
      </w:r>
      <w:r w:rsidR="00737E85">
        <w:rPr>
          <w:rFonts w:ascii="Palatino Linotype" w:hAnsi="Palatino Linotype"/>
          <w:b/>
        </w:rPr>
        <w:t>Ayuntamiento de Cuautitlán Izcalli</w:t>
      </w:r>
      <w:r w:rsidR="00737E85">
        <w:rPr>
          <w:rFonts w:ascii="Palatino Linotype" w:hAnsi="Palatino Linotype"/>
        </w:rPr>
        <w:t xml:space="preserve">, </w:t>
      </w:r>
      <w:r>
        <w:rPr>
          <w:rFonts w:ascii="Palatino Linotype" w:hAnsi="Palatino Linotype" w:cs="Arial"/>
        </w:rPr>
        <w:t xml:space="preserve">en lo </w:t>
      </w:r>
      <w:r>
        <w:rPr>
          <w:rFonts w:ascii="Palatino Linotype" w:hAnsi="Palatino Linotype" w:cs="Arial"/>
        </w:rPr>
        <w:lastRenderedPageBreak/>
        <w:t xml:space="preserve">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w:t>
      </w:r>
      <w:r w:rsidR="000F5CF7">
        <w:rPr>
          <w:rFonts w:ascii="Palatino Linotype" w:hAnsi="Palatino Linotype"/>
        </w:rPr>
        <w:t xml:space="preserve">información relacionada con las </w:t>
      </w:r>
      <w:r w:rsidR="00737E85">
        <w:rPr>
          <w:rFonts w:ascii="Palatino Linotype" w:hAnsi="Palatino Linotype"/>
        </w:rPr>
        <w:t>claves catastrales</w:t>
      </w:r>
      <w:r w:rsidR="000F5CF7">
        <w:rPr>
          <w:rFonts w:ascii="Palatino Linotype" w:hAnsi="Palatino Linotype"/>
        </w:rPr>
        <w:t xml:space="preserve"> de un inmueble, ubicación oficial,</w:t>
      </w:r>
      <w:r w:rsidR="00737E85">
        <w:rPr>
          <w:rFonts w:ascii="Palatino Linotype" w:hAnsi="Palatino Linotype"/>
        </w:rPr>
        <w:t xml:space="preserve"> licencias de construcción y uso de suelo.</w:t>
      </w:r>
    </w:p>
    <w:p w:rsidR="00CC086B" w:rsidRDefault="00CC086B" w:rsidP="00523BD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sidR="008F1C73">
        <w:rPr>
          <w:rFonts w:ascii="Palatino Linotype" w:hAnsi="Palatino Linotype" w:cs="Arial"/>
        </w:rPr>
        <w:t>en respuesta esencialmente manifestó no generar, poseer o administrar en el ejercicio de sus facultades y/o atribuciones la información solicitada.</w:t>
      </w:r>
    </w:p>
    <w:p w:rsidR="00CC086B" w:rsidRDefault="00CC086B" w:rsidP="00523BDB">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t xml:space="preserve">Inconforme con la respuesta, </w:t>
      </w:r>
      <w:r w:rsidR="008F1C73">
        <w:rPr>
          <w:rFonts w:ascii="Palatino Linotype" w:hAnsi="Palatino Linotype"/>
          <w:b/>
          <w:color w:val="000000"/>
          <w:lang w:val="es-MX" w:eastAsia="es-MX"/>
        </w:rPr>
        <w:t>LA</w:t>
      </w:r>
      <w:r>
        <w:rPr>
          <w:rFonts w:ascii="Palatino Linotype" w:hAnsi="Palatino Linotype"/>
          <w:b/>
          <w:color w:val="000000"/>
          <w:lang w:val="es-MX" w:eastAsia="es-MX"/>
        </w:rPr>
        <w:t xml:space="preserve">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w:t>
      </w:r>
      <w:r w:rsidR="008F1C73">
        <w:rPr>
          <w:rFonts w:ascii="Palatino Linotype" w:hAnsi="Palatino Linotype" w:cs="Arial"/>
        </w:rPr>
        <w:t xml:space="preserve"> </w:t>
      </w:r>
    </w:p>
    <w:p w:rsidR="00CC086B" w:rsidRDefault="00CC086B" w:rsidP="00523BD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Pr>
          <w:rFonts w:ascii="Palatino Linotype" w:hAnsi="Palatino Linotype" w:cs="Arial"/>
          <w:b/>
        </w:rPr>
        <w:t xml:space="preserve">MODIFICAR </w:t>
      </w:r>
      <w:r>
        <w:rPr>
          <w:rFonts w:ascii="Palatino Linotype" w:hAnsi="Palatino Linotype" w:cs="Arial"/>
        </w:rPr>
        <w:t xml:space="preserve">la respuesta del </w:t>
      </w:r>
      <w:r>
        <w:rPr>
          <w:rFonts w:ascii="Palatino Linotype" w:hAnsi="Palatino Linotype" w:cs="Arial"/>
          <w:b/>
        </w:rPr>
        <w:t xml:space="preserve">SUJETO OBLIGADO </w:t>
      </w:r>
      <w:r>
        <w:rPr>
          <w:rFonts w:ascii="Palatino Linotype" w:hAnsi="Palatino Linotype" w:cs="Arial"/>
        </w:rPr>
        <w:t xml:space="preserve">y ordenar la entrega vía SAIMEX </w:t>
      </w:r>
      <w:r w:rsidR="008F1C73">
        <w:rPr>
          <w:rFonts w:ascii="Palatino Linotype" w:hAnsi="Palatino Linotype" w:cs="Arial"/>
        </w:rPr>
        <w:t>de lo siguiente:</w:t>
      </w:r>
    </w:p>
    <w:p w:rsidR="00CF5BD0" w:rsidRPr="00CF5BD0" w:rsidRDefault="00CF5BD0" w:rsidP="00523BDB">
      <w:pPr>
        <w:spacing w:before="100" w:beforeAutospacing="1" w:after="100" w:afterAutospacing="1" w:line="360" w:lineRule="auto"/>
        <w:ind w:right="49"/>
        <w:jc w:val="both"/>
        <w:rPr>
          <w:rFonts w:ascii="Palatino Linotype" w:hAnsi="Palatino Linotype" w:cs="Arial"/>
          <w:sz w:val="4"/>
          <w:szCs w:val="4"/>
        </w:rPr>
      </w:pPr>
    </w:p>
    <w:p w:rsidR="008F1C73" w:rsidRPr="008F1C73" w:rsidRDefault="008F1C73" w:rsidP="00523BDB">
      <w:pPr>
        <w:pStyle w:val="Prrafodelista"/>
        <w:numPr>
          <w:ilvl w:val="0"/>
          <w:numId w:val="1"/>
        </w:numPr>
        <w:ind w:left="1276" w:right="902"/>
        <w:rPr>
          <w:rFonts w:ascii="Palatino Linotype" w:hAnsi="Palatino Linotype" w:cs="Arial"/>
          <w:i/>
          <w:sz w:val="22"/>
          <w:szCs w:val="22"/>
        </w:rPr>
      </w:pPr>
      <w:r w:rsidRPr="008F1C73">
        <w:rPr>
          <w:rFonts w:ascii="Palatino Linotype" w:hAnsi="Palatino Linotype" w:cs="Arial"/>
          <w:i/>
          <w:sz w:val="22"/>
          <w:szCs w:val="22"/>
        </w:rPr>
        <w:t>El Acuerdo de clasificación de información confidencial debidamente motivado y fundado emitido por su Comité de Transparencia, relacionado con la clave catastral.</w:t>
      </w:r>
    </w:p>
    <w:p w:rsidR="008F1C73" w:rsidRPr="008F1C73" w:rsidRDefault="008F1C73" w:rsidP="00523BDB">
      <w:pPr>
        <w:pStyle w:val="Prrafodelista"/>
        <w:ind w:left="1276" w:right="902"/>
        <w:rPr>
          <w:rFonts w:ascii="Palatino Linotype" w:hAnsi="Palatino Linotype" w:cs="Arial"/>
          <w:i/>
          <w:sz w:val="22"/>
          <w:szCs w:val="22"/>
        </w:rPr>
      </w:pPr>
    </w:p>
    <w:p w:rsidR="008F1C73" w:rsidRPr="008F1C73" w:rsidRDefault="008F1C73" w:rsidP="00523BDB">
      <w:pPr>
        <w:ind w:left="1276" w:right="902"/>
        <w:jc w:val="both"/>
        <w:rPr>
          <w:rFonts w:ascii="Palatino Linotype" w:hAnsi="Palatino Linotype" w:cs="Arial"/>
          <w:i/>
          <w:sz w:val="22"/>
          <w:szCs w:val="22"/>
          <w:lang w:val="es-MX"/>
        </w:rPr>
      </w:pPr>
      <w:r w:rsidRPr="008F1C73">
        <w:rPr>
          <w:rFonts w:ascii="Palatino Linotype" w:hAnsi="Palatino Linotype" w:cs="Arial"/>
          <w:i/>
          <w:sz w:val="22"/>
          <w:szCs w:val="22"/>
          <w:lang w:val="es-MX"/>
        </w:rPr>
        <w:t xml:space="preserve">Previa búsqueda exhaustiva y razonable, en versión pública, el soporte documental en donde conste: </w:t>
      </w:r>
    </w:p>
    <w:p w:rsidR="008F1C73" w:rsidRPr="008F1C73" w:rsidRDefault="008F1C73" w:rsidP="00523BDB">
      <w:pPr>
        <w:pStyle w:val="Prrafodelista"/>
        <w:numPr>
          <w:ilvl w:val="0"/>
          <w:numId w:val="1"/>
        </w:numPr>
        <w:ind w:left="1276" w:right="902"/>
        <w:jc w:val="both"/>
        <w:rPr>
          <w:rFonts w:ascii="Palatino Linotype" w:hAnsi="Palatino Linotype" w:cs="Arial"/>
          <w:i/>
          <w:sz w:val="22"/>
          <w:szCs w:val="22"/>
        </w:rPr>
      </w:pPr>
      <w:r w:rsidRPr="008F1C73">
        <w:rPr>
          <w:rFonts w:ascii="Palatino Linotype" w:hAnsi="Palatino Linotype" w:cs="Arial"/>
          <w:i/>
          <w:sz w:val="22"/>
          <w:szCs w:val="22"/>
        </w:rPr>
        <w:t xml:space="preserve">La ubicación oficial del inmueble. </w:t>
      </w:r>
    </w:p>
    <w:p w:rsidR="008F1C73" w:rsidRPr="008F1C73" w:rsidRDefault="008F1C73" w:rsidP="00523BDB">
      <w:pPr>
        <w:pStyle w:val="Prrafodelista"/>
        <w:ind w:left="1276" w:right="902"/>
        <w:jc w:val="both"/>
        <w:rPr>
          <w:rFonts w:ascii="Palatino Linotype" w:hAnsi="Palatino Linotype" w:cs="Arial"/>
          <w:i/>
          <w:sz w:val="22"/>
          <w:szCs w:val="22"/>
        </w:rPr>
      </w:pPr>
    </w:p>
    <w:p w:rsidR="008F1C73" w:rsidRPr="008F1C73" w:rsidRDefault="008F1C73" w:rsidP="00523BDB">
      <w:pPr>
        <w:pStyle w:val="Prrafodelista"/>
        <w:numPr>
          <w:ilvl w:val="0"/>
          <w:numId w:val="1"/>
        </w:numPr>
        <w:ind w:left="1276" w:right="902"/>
        <w:jc w:val="both"/>
        <w:rPr>
          <w:rFonts w:ascii="Palatino Linotype" w:hAnsi="Palatino Linotype" w:cs="Arial"/>
          <w:i/>
          <w:sz w:val="22"/>
          <w:szCs w:val="22"/>
        </w:rPr>
      </w:pPr>
      <w:r w:rsidRPr="008F1C73">
        <w:rPr>
          <w:rFonts w:ascii="Palatino Linotype" w:hAnsi="Palatino Linotype" w:cs="Arial"/>
          <w:i/>
          <w:sz w:val="22"/>
          <w:szCs w:val="22"/>
          <w:lang w:val="es-MX"/>
        </w:rPr>
        <w:t xml:space="preserve">Copia certificada de la </w:t>
      </w:r>
      <w:r w:rsidRPr="008F1C73">
        <w:rPr>
          <w:rFonts w:ascii="Palatino Linotype" w:hAnsi="Palatino Linotype" w:cs="Arial"/>
          <w:i/>
          <w:sz w:val="22"/>
          <w:szCs w:val="22"/>
          <w:lang w:eastAsia="es-MX"/>
        </w:rPr>
        <w:t xml:space="preserve">licencia de construcción y la licencia de uso de suelo del inmueble </w:t>
      </w:r>
      <w:r w:rsidRPr="008F1C73">
        <w:rPr>
          <w:rFonts w:ascii="Palatino Linotype" w:hAnsi="Palatino Linotype" w:cs="Arial"/>
          <w:i/>
          <w:sz w:val="22"/>
          <w:szCs w:val="22"/>
        </w:rPr>
        <w:t>referido.</w:t>
      </w:r>
    </w:p>
    <w:p w:rsidR="008F1C73" w:rsidRPr="008F1C73" w:rsidRDefault="008F1C73" w:rsidP="00523BDB">
      <w:pPr>
        <w:ind w:left="1276" w:right="902"/>
        <w:jc w:val="both"/>
        <w:rPr>
          <w:rFonts w:ascii="Palatino Linotype" w:hAnsi="Palatino Linotype" w:cs="Arial"/>
          <w:i/>
          <w:sz w:val="22"/>
          <w:szCs w:val="22"/>
        </w:rPr>
      </w:pPr>
      <w:r w:rsidRPr="008F1C73">
        <w:rPr>
          <w:rFonts w:ascii="Palatino Linotype" w:hAnsi="Palatino Linotype"/>
          <w:i/>
          <w:sz w:val="22"/>
          <w:szCs w:val="22"/>
          <w:lang w:eastAsia="es-MX"/>
        </w:rPr>
        <w:t xml:space="preserve">Asimismo, el Sujeto Obligado </w:t>
      </w:r>
      <w:r w:rsidRPr="008F1C73">
        <w:rPr>
          <w:rFonts w:ascii="Palatino Linotype" w:hAnsi="Palatino Linotype" w:cs="Arial"/>
          <w:i/>
          <w:sz w:val="22"/>
          <w:szCs w:val="22"/>
        </w:rPr>
        <w:t xml:space="preserve">deberá adjuntar el Acuerdo emitido por su Comité de Transparencia que sustente la versión pública de la información que entregue, en el que se expongan los fundamentos y razones que llevaron a la </w:t>
      </w:r>
      <w:r w:rsidRPr="008F1C73">
        <w:rPr>
          <w:rFonts w:ascii="Palatino Linotype" w:hAnsi="Palatino Linotype" w:cs="Arial"/>
          <w:i/>
          <w:sz w:val="22"/>
          <w:szCs w:val="22"/>
        </w:rPr>
        <w:lastRenderedPageBreak/>
        <w:t xml:space="preserve">autoridad a testar, suprimir o eliminar datos de dicho soporte documental y hacerlo del conocimiento de la Recurrente. </w:t>
      </w:r>
    </w:p>
    <w:p w:rsidR="008F1C73" w:rsidRPr="008F1C73" w:rsidRDefault="008F1C73" w:rsidP="00523BDB">
      <w:pPr>
        <w:ind w:left="1276" w:right="902"/>
        <w:jc w:val="both"/>
        <w:rPr>
          <w:rFonts w:ascii="Palatino Linotype" w:hAnsi="Palatino Linotype" w:cs="Arial"/>
          <w:i/>
          <w:sz w:val="22"/>
          <w:szCs w:val="22"/>
        </w:rPr>
      </w:pPr>
      <w:r w:rsidRPr="008F1C73">
        <w:rPr>
          <w:rFonts w:ascii="Palatino Linotype" w:hAnsi="Palatino Linotype" w:cs="Arial"/>
          <w:i/>
          <w:sz w:val="22"/>
          <w:szCs w:val="22"/>
        </w:rPr>
        <w:t xml:space="preserve">Por cuanto hace a la información que en su caso se entregue en copias certificadas, </w:t>
      </w:r>
      <w:r w:rsidRPr="008F1C73">
        <w:rPr>
          <w:rFonts w:ascii="Palatino Linotype" w:hAnsi="Palatino Linotype"/>
          <w:i/>
          <w:sz w:val="22"/>
          <w:szCs w:val="22"/>
        </w:rPr>
        <w:t xml:space="preserve">el Sujeto Obligado deberá informar a la particular,  con claridad y certeza, </w:t>
      </w:r>
      <w:r w:rsidRPr="008F1C73">
        <w:rPr>
          <w:rFonts w:ascii="Palatino Linotype" w:hAnsi="Palatino Linotype"/>
          <w:i/>
          <w:sz w:val="22"/>
          <w:szCs w:val="22"/>
          <w:lang w:val="es-ES_tradnl"/>
        </w:rPr>
        <w:t xml:space="preserve">el domicilio al cual deberá acudir, el nombre de la dependencia o área respectiva, los días y horarios de atención, la forma y procedimiento a seguir  para obtener las documentales solicitadas.  </w:t>
      </w:r>
    </w:p>
    <w:p w:rsidR="008F1C73" w:rsidRDefault="008F1C73" w:rsidP="00523BDB">
      <w:pPr>
        <w:ind w:left="1276" w:right="902"/>
        <w:jc w:val="both"/>
        <w:rPr>
          <w:rFonts w:ascii="Palatino Linotype" w:hAnsi="Palatino Linotype" w:cs="Arial"/>
          <w:i/>
          <w:sz w:val="22"/>
          <w:szCs w:val="22"/>
        </w:rPr>
      </w:pPr>
      <w:r w:rsidRPr="008F1C73">
        <w:rPr>
          <w:rFonts w:ascii="Palatino Linotype" w:hAnsi="Palatino Linotype" w:cs="Arial"/>
          <w:i/>
          <w:sz w:val="22"/>
          <w:szCs w:val="22"/>
        </w:rPr>
        <w:t xml:space="preserve">Para el caso de que la información referida en el punto número 3 no se encuentre en los archivos de las áreas administrativas que pudiesen generar, poseer o administrar la información peticionada, en virtud de que no se realizó trámite alguno, el Sujeto Obligado lo hará del </w:t>
      </w:r>
      <w:r w:rsidR="00523BDB">
        <w:rPr>
          <w:rFonts w:ascii="Palatino Linotype" w:hAnsi="Palatino Linotype" w:cs="Arial"/>
          <w:i/>
          <w:sz w:val="22"/>
          <w:szCs w:val="22"/>
        </w:rPr>
        <w:t>conocimiento de la particular.</w:t>
      </w:r>
    </w:p>
    <w:p w:rsidR="00523BDB" w:rsidRPr="008F1C73" w:rsidRDefault="00523BDB" w:rsidP="00523BDB">
      <w:pPr>
        <w:ind w:left="1276" w:right="902"/>
        <w:jc w:val="both"/>
        <w:rPr>
          <w:rFonts w:ascii="Palatino Linotype" w:hAnsi="Palatino Linotype" w:cs="Arial"/>
          <w:i/>
          <w:sz w:val="22"/>
          <w:szCs w:val="22"/>
        </w:rPr>
      </w:pPr>
    </w:p>
    <w:p w:rsidR="00FC036F" w:rsidRDefault="00CC086B" w:rsidP="00523BDB">
      <w:pPr>
        <w:spacing w:before="100" w:beforeAutospacing="1" w:after="100" w:afterAutospacing="1" w:line="360" w:lineRule="auto"/>
        <w:jc w:val="both"/>
        <w:rPr>
          <w:rFonts w:ascii="Palatino Linotype" w:hAnsi="Palatino Linotype" w:cs="Arial"/>
          <w:lang w:val="es-MX"/>
        </w:rPr>
      </w:pPr>
      <w:r w:rsidRPr="004F3DBF">
        <w:rPr>
          <w:rFonts w:ascii="Palatino Linotype" w:hAnsi="Palatino Linotype" w:cs="Arial"/>
          <w:lang w:val="es-MX"/>
        </w:rPr>
        <w:t xml:space="preserve">En ese sentido, la que suscribe reitera, que si bien coincide en términos generales con el </w:t>
      </w:r>
      <w:r>
        <w:rPr>
          <w:rFonts w:ascii="Palatino Linotype" w:hAnsi="Palatino Linotype" w:cs="Arial"/>
          <w:lang w:val="es-MX"/>
        </w:rPr>
        <w:t>sentido de la resolución en comento,</w:t>
      </w:r>
      <w:r w:rsidRPr="004F3DBF">
        <w:rPr>
          <w:rFonts w:ascii="Palatino Linotype" w:hAnsi="Palatino Linotype" w:cs="Arial"/>
          <w:lang w:val="es-MX"/>
        </w:rPr>
        <w:t xml:space="preserve"> difiero respecto</w:t>
      </w:r>
      <w:r w:rsidR="00FC036F">
        <w:rPr>
          <w:rFonts w:ascii="Palatino Linotype" w:hAnsi="Palatino Linotype" w:cs="Arial"/>
          <w:lang w:val="es-MX"/>
        </w:rPr>
        <w:t xml:space="preserve"> a que se ordene la entrega de la información señalada en el punto 2 del Resolutivo SEGUNDO </w:t>
      </w:r>
      <w:r w:rsidR="000F5CF7">
        <w:rPr>
          <w:rFonts w:ascii="Palatino Linotype" w:hAnsi="Palatino Linotype" w:cs="Arial"/>
          <w:lang w:val="es-MX"/>
        </w:rPr>
        <w:t xml:space="preserve">y </w:t>
      </w:r>
      <w:r w:rsidR="00FC036F">
        <w:rPr>
          <w:rFonts w:ascii="Palatino Linotype" w:hAnsi="Palatino Linotype" w:cs="Arial"/>
          <w:lang w:val="es-MX"/>
        </w:rPr>
        <w:t>que en el Resolutivo C</w:t>
      </w:r>
      <w:r w:rsidR="000F5CF7">
        <w:rPr>
          <w:rFonts w:ascii="Palatino Linotype" w:hAnsi="Palatino Linotype" w:cs="Arial"/>
          <w:lang w:val="es-MX"/>
        </w:rPr>
        <w:t>uarto</w:t>
      </w:r>
      <w:r w:rsidR="00FC036F">
        <w:rPr>
          <w:rFonts w:ascii="Palatino Linotype" w:hAnsi="Palatino Linotype" w:cs="Arial"/>
          <w:lang w:val="es-MX"/>
        </w:rPr>
        <w:t xml:space="preserve"> se señalen los artículos 159 y 160 de la Ley General de Transparencia y Acceso a la Información Pública.</w:t>
      </w:r>
    </w:p>
    <w:p w:rsidR="00FC036F" w:rsidRDefault="00CC086B" w:rsidP="00523BDB">
      <w:pPr>
        <w:spacing w:before="100" w:beforeAutospacing="1" w:after="100" w:afterAutospacing="1" w:line="360" w:lineRule="auto"/>
        <w:jc w:val="both"/>
        <w:rPr>
          <w:rFonts w:ascii="Palatino Linotype" w:hAnsi="Palatino Linotype" w:cs="Arial"/>
        </w:rPr>
      </w:pPr>
      <w:r>
        <w:rPr>
          <w:rFonts w:ascii="Palatino Linotype" w:hAnsi="Palatino Linotype" w:cs="Arial"/>
          <w:lang w:eastAsia="es-CO"/>
        </w:rPr>
        <w:t>Lo anterior</w:t>
      </w:r>
      <w:r w:rsidR="00981C25">
        <w:rPr>
          <w:rFonts w:ascii="Palatino Linotype" w:hAnsi="Palatino Linotype" w:cs="Arial"/>
          <w:lang w:eastAsia="es-CO"/>
        </w:rPr>
        <w:t>,</w:t>
      </w:r>
      <w:r>
        <w:rPr>
          <w:rFonts w:ascii="Palatino Linotype" w:hAnsi="Palatino Linotype" w:cs="Arial"/>
          <w:lang w:eastAsia="es-CO"/>
        </w:rPr>
        <w:t xml:space="preserve"> debido a que</w:t>
      </w:r>
      <w:r w:rsidR="00FC036F">
        <w:rPr>
          <w:rFonts w:ascii="Palatino Linotype" w:hAnsi="Palatino Linotype" w:cs="Arial"/>
          <w:lang w:eastAsia="es-CO"/>
        </w:rPr>
        <w:t xml:space="preserve"> tal como lo señaló la Ponencia Resolutora en el estudio de la resolución, la particular requirió en copia certificada la información; por lo que, </w:t>
      </w:r>
      <w:r w:rsidR="00FC036F" w:rsidRPr="005C3052">
        <w:rPr>
          <w:rFonts w:ascii="Palatino Linotype" w:hAnsi="Palatino Linotype" w:cs="Arial"/>
        </w:rPr>
        <w:t>en estricto sentido, la persona que desea acceder a la información, al elegir una modalidad de entrega que genere un costo como lo es el caso, deberá cubrir el mismo, para que le sea entregada la información que requiere</w:t>
      </w:r>
      <w:r w:rsidR="00FC036F">
        <w:rPr>
          <w:rFonts w:ascii="Palatino Linotype" w:hAnsi="Palatino Linotype" w:cs="Arial"/>
        </w:rPr>
        <w:t>, de acuerdo con lo establecido en el artículo 165 de la Ley de la materia que a la letra señala:</w:t>
      </w:r>
    </w:p>
    <w:p w:rsidR="00523BDB" w:rsidRPr="00CF5BD0" w:rsidRDefault="00523BDB" w:rsidP="00523BDB">
      <w:pPr>
        <w:spacing w:before="100" w:beforeAutospacing="1" w:after="100" w:afterAutospacing="1" w:line="360" w:lineRule="auto"/>
        <w:jc w:val="both"/>
        <w:rPr>
          <w:rFonts w:ascii="Palatino Linotype" w:hAnsi="Palatino Linotype" w:cs="Arial"/>
          <w:sz w:val="4"/>
          <w:szCs w:val="4"/>
          <w:lang w:eastAsia="es-CO"/>
        </w:rPr>
      </w:pPr>
    </w:p>
    <w:p w:rsidR="00FC036F" w:rsidRDefault="00FC036F" w:rsidP="00523BDB">
      <w:pPr>
        <w:ind w:left="851" w:right="902"/>
        <w:jc w:val="both"/>
        <w:rPr>
          <w:rFonts w:ascii="Palatino Linotype" w:hAnsi="Palatino Linotype"/>
          <w:i/>
          <w:sz w:val="22"/>
          <w:szCs w:val="22"/>
        </w:rPr>
      </w:pPr>
      <w:r>
        <w:rPr>
          <w:rFonts w:ascii="Palatino Linotype" w:hAnsi="Palatino Linotype"/>
          <w:i/>
          <w:sz w:val="22"/>
          <w:szCs w:val="22"/>
        </w:rPr>
        <w:t>“</w:t>
      </w:r>
      <w:r w:rsidRPr="00FC036F">
        <w:rPr>
          <w:rFonts w:ascii="Palatino Linotype" w:hAnsi="Palatino Linotype"/>
          <w:b/>
          <w:i/>
          <w:sz w:val="22"/>
          <w:szCs w:val="22"/>
        </w:rPr>
        <w:t>Artículo 165.</w:t>
      </w:r>
      <w:r w:rsidRPr="00FC036F">
        <w:rPr>
          <w:rFonts w:ascii="Palatino Linotype" w:hAnsi="Palatino Linotype"/>
          <w:i/>
          <w:sz w:val="22"/>
          <w:szCs w:val="22"/>
        </w:rPr>
        <w:t xml:space="preserve"> Los sujetos obligados establecerán la forma y términos en que darán trámite interno a las solicitudes en materia de acceso a la información. </w:t>
      </w:r>
    </w:p>
    <w:p w:rsidR="00FC036F" w:rsidRDefault="00FC036F" w:rsidP="00523BDB">
      <w:pPr>
        <w:ind w:left="851" w:right="902"/>
        <w:jc w:val="both"/>
        <w:rPr>
          <w:rFonts w:ascii="Palatino Linotype" w:hAnsi="Palatino Linotype"/>
          <w:i/>
          <w:sz w:val="22"/>
          <w:szCs w:val="22"/>
        </w:rPr>
      </w:pPr>
      <w:r w:rsidRPr="00FC036F">
        <w:rPr>
          <w:rFonts w:ascii="Palatino Linotype" w:hAnsi="Palatino Linotype"/>
          <w:b/>
          <w:i/>
          <w:sz w:val="22"/>
          <w:szCs w:val="22"/>
        </w:rPr>
        <w:lastRenderedPageBreak/>
        <w:t>La información que se entregue en versión pública, cuya modalidad de reproducción o envío tenga un costo, procederá una vez que se acredite el pago respectivo</w:t>
      </w:r>
      <w:r w:rsidRPr="00FC036F">
        <w:rPr>
          <w:rFonts w:ascii="Palatino Linotype" w:hAnsi="Palatino Linotype"/>
          <w:i/>
          <w:sz w:val="22"/>
          <w:szCs w:val="22"/>
        </w:rPr>
        <w:t xml:space="preserve">. No puede entenderse como reproducción la elaboración de la misma. </w:t>
      </w:r>
    </w:p>
    <w:p w:rsidR="00FC036F" w:rsidRDefault="00FC036F" w:rsidP="00523BDB">
      <w:pPr>
        <w:ind w:left="851" w:right="902"/>
        <w:jc w:val="both"/>
        <w:rPr>
          <w:rFonts w:ascii="Palatino Linotype" w:hAnsi="Palatino Linotype"/>
          <w:i/>
          <w:sz w:val="22"/>
          <w:szCs w:val="22"/>
        </w:rPr>
      </w:pPr>
      <w:r w:rsidRPr="00FC036F">
        <w:rPr>
          <w:rFonts w:ascii="Palatino Linotype" w:hAnsi="Palatino Linotype"/>
          <w:i/>
          <w:sz w:val="22"/>
          <w:szCs w:val="22"/>
        </w:rPr>
        <w:t>Ante la falta de respuesta a una solicitud en el plazo previsto y en caso de que proceda el acceso, los costos de reproducción y envío correrán a cargo del sujeto obligado.</w:t>
      </w:r>
      <w:r>
        <w:rPr>
          <w:rFonts w:ascii="Palatino Linotype" w:hAnsi="Palatino Linotype"/>
          <w:i/>
          <w:sz w:val="22"/>
          <w:szCs w:val="22"/>
        </w:rPr>
        <w:t>”</w:t>
      </w:r>
    </w:p>
    <w:p w:rsidR="00CF5BD0" w:rsidRPr="00FC036F" w:rsidRDefault="00CF5BD0" w:rsidP="00523BDB">
      <w:pPr>
        <w:ind w:left="851" w:right="902"/>
        <w:jc w:val="both"/>
        <w:rPr>
          <w:rFonts w:ascii="Palatino Linotype" w:hAnsi="Palatino Linotype" w:cs="Arial"/>
          <w:i/>
          <w:sz w:val="22"/>
          <w:szCs w:val="22"/>
          <w:lang w:eastAsia="es-CO"/>
        </w:rPr>
      </w:pPr>
    </w:p>
    <w:p w:rsidR="00FC036F" w:rsidRDefault="006E6611" w:rsidP="00523BDB">
      <w:pPr>
        <w:spacing w:before="100" w:beforeAutospacing="1" w:after="100" w:afterAutospacing="1" w:line="360" w:lineRule="auto"/>
        <w:jc w:val="both"/>
        <w:rPr>
          <w:rFonts w:ascii="Palatino Linotype" w:hAnsi="Palatino Linotype" w:cs="Arial"/>
          <w:lang w:eastAsia="es-CO"/>
        </w:rPr>
      </w:pPr>
      <w:r w:rsidRPr="005C3052">
        <w:rPr>
          <w:rFonts w:ascii="Palatino Linotype" w:hAnsi="Palatino Linotype" w:cs="Arial"/>
        </w:rPr>
        <w:t>Por lo que, en este caso es evidente que el pago de la expedición de la información requeri</w:t>
      </w:r>
      <w:r>
        <w:rPr>
          <w:rFonts w:ascii="Palatino Linotype" w:hAnsi="Palatino Linotype" w:cs="Arial"/>
        </w:rPr>
        <w:t xml:space="preserve">da en la modalidad elegida por </w:t>
      </w:r>
      <w:r w:rsidRPr="006E6611">
        <w:rPr>
          <w:rFonts w:ascii="Palatino Linotype" w:hAnsi="Palatino Linotype" w:cs="Arial"/>
          <w:b/>
        </w:rPr>
        <w:t>LA RECURRENTE</w:t>
      </w:r>
      <w:r>
        <w:rPr>
          <w:rFonts w:ascii="Palatino Linotype" w:hAnsi="Palatino Linotype" w:cs="Arial"/>
        </w:rPr>
        <w:t>, resulta aplicable, motivo por el cual a criterio de la suscrita lo procedente era que tanto en estudio como en resolutivos la Ponencia Resolutora precisara que la entrega de la información solicitada se haría previo el pago de las copias certificadas.</w:t>
      </w:r>
    </w:p>
    <w:p w:rsidR="00FC036F" w:rsidRDefault="006E6611" w:rsidP="00523BDB">
      <w:pPr>
        <w:spacing w:before="100" w:beforeAutospacing="1" w:after="100" w:afterAutospacing="1" w:line="360" w:lineRule="auto"/>
        <w:jc w:val="both"/>
        <w:rPr>
          <w:rFonts w:ascii="Palatino Linotype" w:hAnsi="Palatino Linotype" w:cs="Arial"/>
          <w:lang w:eastAsia="es-CO"/>
        </w:rPr>
      </w:pPr>
      <w:r>
        <w:rPr>
          <w:rFonts w:ascii="Palatino Linotype" w:hAnsi="Palatino Linotype" w:cs="Arial"/>
          <w:lang w:eastAsia="es-CO"/>
        </w:rPr>
        <w:t xml:space="preserve">Ahora bien, por cuanto hace al punto 2 del Resolutivo </w:t>
      </w:r>
      <w:r w:rsidR="000F5CF7">
        <w:rPr>
          <w:rFonts w:ascii="Palatino Linotype" w:hAnsi="Palatino Linotype" w:cs="Arial"/>
          <w:lang w:eastAsia="es-CO"/>
        </w:rPr>
        <w:t xml:space="preserve">SEGUNDO consistente en la ubicación oficial del inmueble, misma que a criterio de la que suscribe debe ser considerada como información confidencial al tratarse de datos personales referentes al patrimonio de una persona, conviene citar el artículo 4, fracción XI de la Ley de Protección de Datos Personales en Posesión de los Sujetos Obligados del Estado de México y Municipios, que a la letra reza: </w:t>
      </w:r>
    </w:p>
    <w:p w:rsidR="000F5CF7" w:rsidRDefault="000F5CF7" w:rsidP="00523BDB">
      <w:pPr>
        <w:spacing w:before="100" w:beforeAutospacing="1" w:after="100" w:afterAutospacing="1"/>
        <w:ind w:left="851" w:right="899"/>
        <w:jc w:val="both"/>
        <w:rPr>
          <w:rFonts w:ascii="Palatino Linotype" w:hAnsi="Palatino Linotype" w:cs="Arial"/>
          <w:i/>
          <w:sz w:val="22"/>
          <w:szCs w:val="22"/>
          <w:lang w:eastAsia="es-CO"/>
        </w:rPr>
      </w:pPr>
      <w:r w:rsidRPr="00BC794D">
        <w:rPr>
          <w:rFonts w:ascii="Palatino Linotype" w:hAnsi="Palatino Linotype" w:cs="Arial"/>
          <w:i/>
          <w:sz w:val="22"/>
          <w:szCs w:val="22"/>
          <w:lang w:eastAsia="es-CO"/>
        </w:rPr>
        <w:t xml:space="preserve">XI. </w:t>
      </w:r>
      <w:r w:rsidRPr="00BC794D">
        <w:rPr>
          <w:rFonts w:ascii="Palatino Linotype" w:hAnsi="Palatino Linotype" w:cs="Arial"/>
          <w:b/>
          <w:i/>
          <w:sz w:val="22"/>
          <w:szCs w:val="22"/>
          <w:lang w:eastAsia="es-CO"/>
        </w:rPr>
        <w:t>Datos personales:</w:t>
      </w:r>
      <w:r w:rsidRPr="00BC794D">
        <w:rPr>
          <w:rFonts w:ascii="Palatino Linotype" w:hAnsi="Palatino Linotype" w:cs="Arial"/>
          <w:i/>
          <w:sz w:val="22"/>
          <w:szCs w:val="22"/>
          <w:lang w:eastAsia="es-CO"/>
        </w:rPr>
        <w:t xml:space="preserve"> a la información concerniente a una persona física o jurídica colecti</w:t>
      </w:r>
      <w:r w:rsidR="00BC794D" w:rsidRPr="00BC794D">
        <w:rPr>
          <w:rFonts w:ascii="Palatino Linotype" w:hAnsi="Palatino Linotype" w:cs="Arial"/>
          <w:i/>
          <w:sz w:val="22"/>
          <w:szCs w:val="22"/>
          <w:lang w:eastAsia="es-CO"/>
        </w:rPr>
        <w:t xml:space="preserve">va identificada o identificable, establecida en cualquier formato o modalidad, y que esté </w:t>
      </w:r>
      <w:r w:rsidR="00BC794D" w:rsidRPr="00BC794D">
        <w:rPr>
          <w:rFonts w:ascii="Palatino Linotype" w:hAnsi="Palatino Linotype" w:cs="Arial"/>
          <w:b/>
          <w:i/>
          <w:sz w:val="22"/>
          <w:szCs w:val="22"/>
          <w:lang w:eastAsia="es-CO"/>
        </w:rPr>
        <w:t>almacenada en los sistemas y bases de datos</w:t>
      </w:r>
      <w:r w:rsidR="00BC794D" w:rsidRPr="00BC794D">
        <w:rPr>
          <w:rFonts w:ascii="Palatino Linotype" w:hAnsi="Palatino Linotype" w:cs="Arial"/>
          <w:i/>
          <w:sz w:val="22"/>
          <w:szCs w:val="22"/>
          <w:lang w:eastAsia="es-CO"/>
        </w:rPr>
        <w:t xml:space="preserve">, se considerará que una persona es identificable cuando su identidad pueda determinarse directa o indirectamente a través de cualquier documento informativo físico o electrónico. </w:t>
      </w:r>
    </w:p>
    <w:p w:rsidR="00CC086B" w:rsidRDefault="00BC794D" w:rsidP="00523BDB">
      <w:pPr>
        <w:spacing w:before="100" w:beforeAutospacing="1" w:after="100" w:afterAutospacing="1" w:line="360" w:lineRule="auto"/>
        <w:jc w:val="both"/>
        <w:rPr>
          <w:rFonts w:ascii="Palatino Linotype" w:hAnsi="Palatino Linotype" w:cs="Arial"/>
          <w:lang w:eastAsia="es-CO"/>
        </w:rPr>
      </w:pPr>
      <w:r>
        <w:rPr>
          <w:rFonts w:ascii="Palatino Linotype" w:hAnsi="Palatino Linotype" w:cs="Arial"/>
          <w:lang w:eastAsia="es-CO"/>
        </w:rPr>
        <w:t xml:space="preserve">Entonces, existe limitante para la divulgación de la información y en consecuencia se debió de haber ordenado la entrega del Acuerdo de Clasificación de la Información </w:t>
      </w:r>
      <w:r>
        <w:rPr>
          <w:rFonts w:ascii="Palatino Linotype" w:hAnsi="Palatino Linotype" w:cs="Arial"/>
          <w:lang w:eastAsia="es-CO"/>
        </w:rPr>
        <w:lastRenderedPageBreak/>
        <w:t xml:space="preserve">como confidencial </w:t>
      </w:r>
      <w:r w:rsidR="00F31453">
        <w:rPr>
          <w:rFonts w:ascii="Palatino Linotype" w:hAnsi="Palatino Linotype" w:cs="Arial"/>
          <w:lang w:eastAsia="es-CO"/>
        </w:rPr>
        <w:t xml:space="preserve">respecto del punto 2 del Resolutivo SEGUNDO consistente en la ubicación oficial del inmueble referido en la solicitud de información, aunado a que la Ponencia </w:t>
      </w:r>
      <w:r w:rsidR="00EC13A6">
        <w:rPr>
          <w:rFonts w:ascii="Palatino Linotype" w:hAnsi="Palatino Linotype" w:cs="Arial"/>
          <w:lang w:eastAsia="es-CO"/>
        </w:rPr>
        <w:t xml:space="preserve">Resolutora debió precisar en el estudio lo relativo a las formalidades que la Ley de la materia establece para la debida fundamentación y motivación del Acuerdo correspondiente. </w:t>
      </w:r>
    </w:p>
    <w:p w:rsidR="00092494" w:rsidRPr="00092494" w:rsidRDefault="00092494" w:rsidP="00523BDB">
      <w:pPr>
        <w:spacing w:before="100" w:beforeAutospacing="1" w:after="100" w:afterAutospacing="1" w:line="360" w:lineRule="auto"/>
        <w:jc w:val="both"/>
        <w:rPr>
          <w:rFonts w:ascii="Palatino Linotype" w:hAnsi="Palatino Linotype" w:cs="Arial"/>
          <w:lang w:eastAsia="es-CO"/>
        </w:rPr>
      </w:pPr>
      <w:r w:rsidRPr="00092494">
        <w:rPr>
          <w:rFonts w:ascii="Palatino Linotype" w:hAnsi="Palatino Linotype" w:cs="Arial"/>
          <w:lang w:eastAsia="es-CO"/>
        </w:rPr>
        <w:t xml:space="preserve">Finalmente, considero, que el sentido en que se resolvió el recurso de revisión no encuadra con alguna de las hipótesis contenidas en los artículos 159 y 160 de la Ley General de Transparencia y Acceso a la Información Pública citados por la Ponencia Resolutora en el Resolutivo Cuarto de la resolución de mérito, a fin de interponer el recurso de inconformidad ante el Instituto Nacional de Transparencia, Acceso a la Información y Protección de Datos Personales. </w:t>
      </w:r>
    </w:p>
    <w:p w:rsidR="00981C25" w:rsidRDefault="00092494" w:rsidP="00523BDB">
      <w:pPr>
        <w:spacing w:before="100" w:beforeAutospacing="1" w:after="100" w:afterAutospacing="1" w:line="360" w:lineRule="auto"/>
        <w:jc w:val="both"/>
        <w:rPr>
          <w:rFonts w:ascii="Palatino Linotype" w:hAnsi="Palatino Linotype" w:cs="Arial"/>
          <w:lang w:eastAsia="es-CO"/>
        </w:rPr>
      </w:pPr>
      <w:r w:rsidRPr="00092494">
        <w:rPr>
          <w:rFonts w:ascii="Palatino Linotype" w:hAnsi="Palatino Linotype" w:cs="Arial"/>
          <w:lang w:eastAsia="es-CO"/>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w:t>
      </w:r>
      <w:r>
        <w:rPr>
          <w:rFonts w:ascii="Palatino Linotype" w:hAnsi="Palatino Linotype" w:cs="Arial"/>
          <w:lang w:eastAsia="es-CO"/>
        </w:rPr>
        <w:t xml:space="preserve"> continuación: </w:t>
      </w:r>
    </w:p>
    <w:p w:rsidR="00981C25" w:rsidRPr="00092494" w:rsidRDefault="00092494" w:rsidP="00523BDB">
      <w:pPr>
        <w:spacing w:before="100" w:beforeAutospacing="1" w:after="100" w:afterAutospacing="1"/>
        <w:ind w:left="851" w:right="902"/>
        <w:jc w:val="both"/>
        <w:rPr>
          <w:rFonts w:ascii="Palatino Linotype" w:hAnsi="Palatino Linotype" w:cs="Arial"/>
          <w:i/>
          <w:sz w:val="22"/>
          <w:szCs w:val="22"/>
          <w:lang w:eastAsia="es-CO"/>
        </w:rPr>
      </w:pPr>
      <w:r w:rsidRPr="00092494">
        <w:rPr>
          <w:rFonts w:ascii="Palatino Linotype" w:hAnsi="Palatino Linotype" w:cs="Arial"/>
          <w:i/>
          <w:sz w:val="22"/>
          <w:szCs w:val="22"/>
          <w:lang w:eastAsia="es-CO"/>
        </w:rPr>
        <w:t>"</w:t>
      </w:r>
      <w:r w:rsidRPr="00092494">
        <w:rPr>
          <w:rFonts w:ascii="Palatino Linotype" w:hAnsi="Palatino Linotype" w:cs="Arial"/>
          <w:b/>
          <w:i/>
          <w:sz w:val="22"/>
          <w:szCs w:val="22"/>
          <w:lang w:eastAsia="es-CO"/>
        </w:rPr>
        <w:t>Artículo 159</w:t>
      </w:r>
      <w:r w:rsidRPr="00092494">
        <w:rPr>
          <w:rFonts w:ascii="Palatino Linotype" w:hAnsi="Palatino Linotype" w:cs="Arial"/>
          <w:i/>
          <w:sz w:val="22"/>
          <w:szCs w:val="22"/>
          <w:lang w:eastAsia="es-CO"/>
        </w:rPr>
        <w:t xml:space="preserve">. Tratándose de las resoluciones a los </w:t>
      </w:r>
      <w:r>
        <w:rPr>
          <w:rFonts w:ascii="Palatino Linotype" w:hAnsi="Palatino Linotype" w:cs="Arial"/>
          <w:i/>
          <w:sz w:val="22"/>
          <w:szCs w:val="22"/>
          <w:lang w:eastAsia="es-CO"/>
        </w:rPr>
        <w:t>recursos de revisión de los Organ</w:t>
      </w:r>
      <w:r w:rsidRPr="00092494">
        <w:rPr>
          <w:rFonts w:ascii="Palatino Linotype" w:hAnsi="Palatino Linotype" w:cs="Arial"/>
          <w:i/>
          <w:sz w:val="22"/>
          <w:szCs w:val="22"/>
          <w:lang w:eastAsia="es-CO"/>
        </w:rPr>
        <w:t>ismos garantes de las Entidades Federativas, los particulares podrán optar por acudir ante el Instituto o ante el Poder Judicial de la Federación.</w:t>
      </w:r>
    </w:p>
    <w:p w:rsidR="00981C25" w:rsidRPr="00092494" w:rsidRDefault="00092494" w:rsidP="00CF5BD0">
      <w:pPr>
        <w:ind w:left="851" w:right="902"/>
        <w:jc w:val="both"/>
        <w:rPr>
          <w:rFonts w:ascii="Palatino Linotype" w:hAnsi="Palatino Linotype" w:cs="Arial"/>
          <w:i/>
          <w:sz w:val="22"/>
          <w:szCs w:val="22"/>
        </w:rPr>
      </w:pPr>
      <w:r w:rsidRPr="00092494">
        <w:rPr>
          <w:rFonts w:ascii="Palatino Linotype" w:hAnsi="Palatino Linotype" w:cs="Arial"/>
          <w:b/>
          <w:i/>
          <w:sz w:val="22"/>
          <w:szCs w:val="22"/>
        </w:rPr>
        <w:lastRenderedPageBreak/>
        <w:t>Artículo 160</w:t>
      </w:r>
      <w:r w:rsidRPr="00092494">
        <w:rPr>
          <w:rFonts w:ascii="Palatino Linotype" w:hAnsi="Palatino Linotype" w:cs="Arial"/>
          <w:i/>
          <w:sz w:val="22"/>
          <w:szCs w:val="22"/>
        </w:rPr>
        <w:t>. El recurso de inconformidad procede contra las resoluciones emitidas por los Organismos garantes de las Entidades Federativas que:</w:t>
      </w:r>
    </w:p>
    <w:p w:rsidR="00092494" w:rsidRPr="00092494" w:rsidRDefault="00092494" w:rsidP="00CF5BD0">
      <w:pPr>
        <w:ind w:left="851" w:right="902"/>
        <w:jc w:val="both"/>
        <w:rPr>
          <w:rFonts w:ascii="Palatino Linotype" w:hAnsi="Palatino Linotype" w:cs="Arial"/>
          <w:i/>
          <w:sz w:val="22"/>
          <w:szCs w:val="22"/>
        </w:rPr>
      </w:pPr>
      <w:r w:rsidRPr="00092494">
        <w:rPr>
          <w:rFonts w:ascii="Palatino Linotype" w:hAnsi="Palatino Linotype" w:cs="Arial"/>
          <w:i/>
          <w:sz w:val="22"/>
          <w:szCs w:val="22"/>
        </w:rPr>
        <w:t>I.</w:t>
      </w:r>
      <w:r w:rsidRPr="00092494">
        <w:rPr>
          <w:rFonts w:ascii="Palatino Linotype" w:hAnsi="Palatino Linotype" w:cs="Arial"/>
          <w:i/>
          <w:sz w:val="22"/>
          <w:szCs w:val="22"/>
        </w:rPr>
        <w:tab/>
        <w:t>Confirmen o modifiquen la clasificación de la información, o</w:t>
      </w:r>
    </w:p>
    <w:p w:rsidR="00092494" w:rsidRPr="00092494" w:rsidRDefault="00092494" w:rsidP="00CF5BD0">
      <w:pPr>
        <w:ind w:left="851" w:right="902"/>
        <w:jc w:val="both"/>
        <w:rPr>
          <w:rFonts w:ascii="Palatino Linotype" w:hAnsi="Palatino Linotype" w:cs="Arial"/>
          <w:i/>
          <w:sz w:val="22"/>
          <w:szCs w:val="22"/>
        </w:rPr>
      </w:pPr>
      <w:r w:rsidRPr="00092494">
        <w:rPr>
          <w:rFonts w:ascii="Palatino Linotype" w:hAnsi="Palatino Linotype" w:cs="Arial"/>
          <w:i/>
          <w:sz w:val="22"/>
          <w:szCs w:val="22"/>
        </w:rPr>
        <w:t>II.</w:t>
      </w:r>
      <w:r w:rsidRPr="00092494">
        <w:rPr>
          <w:rFonts w:ascii="Palatino Linotype" w:hAnsi="Palatino Linotype" w:cs="Arial"/>
          <w:i/>
          <w:sz w:val="22"/>
          <w:szCs w:val="22"/>
        </w:rPr>
        <w:tab/>
        <w:t>Confirmen la inexistencia o negativa de información.</w:t>
      </w:r>
    </w:p>
    <w:p w:rsidR="00092494" w:rsidRPr="00092494" w:rsidRDefault="00092494" w:rsidP="00CF5BD0">
      <w:pPr>
        <w:ind w:left="851" w:right="902"/>
        <w:jc w:val="both"/>
        <w:rPr>
          <w:rFonts w:ascii="Palatino Linotype" w:hAnsi="Palatino Linotype" w:cs="Arial"/>
          <w:i/>
          <w:sz w:val="22"/>
          <w:szCs w:val="22"/>
        </w:rPr>
      </w:pPr>
      <w:r w:rsidRPr="00092494">
        <w:rPr>
          <w:rFonts w:ascii="Palatino Linotype" w:hAnsi="Palatino Linotype" w:cs="Arial"/>
          <w:i/>
          <w:sz w:val="22"/>
          <w:szCs w:val="22"/>
        </w:rPr>
        <w:t>Se entenderá como negativa de acceso a la información la falta de resolución de los Organismos garantes de las Entidades Federativas dentro del plazo previsto para ello. "(Sic)</w:t>
      </w:r>
    </w:p>
    <w:p w:rsidR="00092494" w:rsidRPr="00092494" w:rsidRDefault="00092494" w:rsidP="00523BDB">
      <w:pPr>
        <w:spacing w:before="100" w:beforeAutospacing="1" w:after="100" w:afterAutospacing="1" w:line="360" w:lineRule="auto"/>
        <w:jc w:val="both"/>
        <w:rPr>
          <w:rFonts w:ascii="Palatino Linotype" w:hAnsi="Palatino Linotype" w:cs="Arial"/>
        </w:rPr>
      </w:pPr>
      <w:r w:rsidRPr="00092494">
        <w:rPr>
          <w:rFonts w:ascii="Palatino Linotype" w:hAnsi="Palatino Linotype" w:cs="Arial"/>
        </w:rPr>
        <w:t xml:space="preserve">Así, de lo anterior se advierte que, los artículos en cita no resultan aplicables al asunto en concreto, toda vez que </w:t>
      </w:r>
      <w:r w:rsidRPr="00092494">
        <w:rPr>
          <w:rFonts w:ascii="Palatino Linotype" w:hAnsi="Palatino Linotype" w:cs="Arial"/>
          <w:b/>
        </w:rPr>
        <w:t>EL SUJETO OBLIGADO</w:t>
      </w:r>
      <w:r w:rsidRPr="00092494">
        <w:rPr>
          <w:rFonts w:ascii="Palatino Linotype" w:hAnsi="Palatino Linotype" w:cs="Arial"/>
        </w:rPr>
        <w:t xml:space="preserve"> en su respuesta manifestó no contar con la información solicitada; por lo que, aun cuando se ordena la clasificación de la clave catastral y la entrega del Acuerdo correspondiente, la Ponencia Resolutora esta ordenando su entrega con las debidas previsiones. </w:t>
      </w:r>
    </w:p>
    <w:p w:rsidR="00092494" w:rsidRDefault="00092494" w:rsidP="00523BDB">
      <w:pPr>
        <w:spacing w:before="100" w:beforeAutospacing="1" w:after="100" w:afterAutospacing="1" w:line="360" w:lineRule="auto"/>
        <w:ind w:right="49"/>
        <w:jc w:val="both"/>
        <w:rPr>
          <w:rFonts w:ascii="Palatino Linotype" w:hAnsi="Palatino Linotype" w:cs="Arial"/>
        </w:rPr>
      </w:pPr>
      <w:r w:rsidRPr="00092494">
        <w:rPr>
          <w:rFonts w:ascii="Palatino Linotype" w:hAnsi="Palatino Linotype" w:cs="Arial"/>
        </w:rPr>
        <w:t>En ese sentido, la Ponencia Resolutora no clasificó formalmente la información requerida por el particular, y tampoco confirmó la inexistencia de la información; por lo que, el recurso de revisión fue resuelto conforme al plazo señalado en el numeral 181 de la Ley de Transparencia y Acceso a la Información Pública del Estado de México y Municipios; en consecuencia no puede considerarse como negativa de la información, por ende, no se actualizan ninguno de los supuestos legales anteriormente citados.</w:t>
      </w:r>
    </w:p>
    <w:p w:rsidR="00523BDB" w:rsidRPr="00523BDB" w:rsidRDefault="00523BDB" w:rsidP="00523BDB">
      <w:pPr>
        <w:spacing w:before="100" w:beforeAutospacing="1" w:after="100" w:afterAutospacing="1" w:line="360" w:lineRule="auto"/>
        <w:jc w:val="both"/>
        <w:rPr>
          <w:rFonts w:ascii="Palatino Linotype" w:hAnsi="Palatino Linotype" w:cs="Arial"/>
        </w:rPr>
      </w:pPr>
      <w:r w:rsidRPr="00523BDB">
        <w:rPr>
          <w:rFonts w:ascii="Palatino Linotype" w:hAnsi="Palatino Linotype" w:cs="Arial"/>
        </w:rPr>
        <w:t xml:space="preserve">Para mayor claridad de lo aducido, se debe establecer que para confirmar o modificar la clasificación de la información primero, </w:t>
      </w:r>
      <w:r w:rsidRPr="00523BDB">
        <w:rPr>
          <w:rFonts w:ascii="Palatino Linotype" w:hAnsi="Palatino Linotype" w:cs="Arial"/>
          <w:b/>
        </w:rPr>
        <w:t>EL SUJETO OBLIGADO</w:t>
      </w:r>
      <w:r w:rsidRPr="00523BDB">
        <w:rPr>
          <w:rFonts w:ascii="Palatino Linotype" w:hAnsi="Palatino Linotype" w:cs="Arial"/>
        </w:rPr>
        <w:t xml:space="preserve"> debió haber remitido el Acuerdo del Comité de Transparencia en virtud del .cual se clasifique la información requerida, ya sea como confidencial o reservada y que derivado de la</w:t>
      </w:r>
      <w:r>
        <w:rPr>
          <w:rFonts w:ascii="Palatino Linotype" w:hAnsi="Palatino Linotype" w:cs="Arial"/>
        </w:rPr>
        <w:t xml:space="preserve"> </w:t>
      </w:r>
      <w:r w:rsidRPr="00523BDB">
        <w:rPr>
          <w:rFonts w:ascii="Palatino Linotype" w:hAnsi="Palatino Linotype" w:cs="Arial"/>
        </w:rPr>
        <w:lastRenderedPageBreak/>
        <w:t xml:space="preserve">inconformidad del </w:t>
      </w:r>
      <w:r w:rsidRPr="00523BDB">
        <w:rPr>
          <w:rFonts w:ascii="Palatino Linotype" w:hAnsi="Palatino Linotype" w:cs="Arial"/>
          <w:b/>
        </w:rPr>
        <w:t>RECURRENTE</w:t>
      </w:r>
      <w:r w:rsidRPr="00523BDB">
        <w:rPr>
          <w:rFonts w:ascii="Palatino Linotype" w:hAnsi="Palatino Linotype" w:cs="Arial"/>
        </w:rPr>
        <w:t xml:space="preserve"> la Ponencia Resolutora determinara que dicha clasificación es correcta 'o en su caso modificarla. </w:t>
      </w:r>
    </w:p>
    <w:p w:rsidR="00092494" w:rsidRDefault="00523BDB" w:rsidP="00523BDB">
      <w:pPr>
        <w:spacing w:before="100" w:beforeAutospacing="1" w:after="100" w:afterAutospacing="1" w:line="360" w:lineRule="auto"/>
        <w:jc w:val="both"/>
        <w:rPr>
          <w:rFonts w:ascii="Palatino Linotype" w:hAnsi="Palatino Linotype" w:cs="Arial"/>
        </w:rPr>
      </w:pPr>
      <w:r w:rsidRPr="00523BDB">
        <w:rPr>
          <w:rFonts w:ascii="Palatino Linotype" w:hAnsi="Palatino Linotype" w:cs="Arial"/>
        </w:rPr>
        <w:t xml:space="preserve">Es por lo anteriormente expuesto que, la que suscrita emite </w:t>
      </w:r>
      <w:r w:rsidRPr="00523BDB">
        <w:rPr>
          <w:rFonts w:ascii="Palatino Linotype" w:hAnsi="Palatino Linotype" w:cs="Arial"/>
          <w:b/>
        </w:rPr>
        <w:t>VOTO PARTICULAR</w:t>
      </w:r>
      <w:r w:rsidRPr="00523BDB">
        <w:rPr>
          <w:rFonts w:ascii="Palatino Linotype" w:hAnsi="Palatino Linotype" w:cs="Arial"/>
        </w:rPr>
        <w:t>, pues se insiste que lo procedente respecto a la entrega de la información señalada en el punto 2 del resolutivo. SEGUNDO de la resolución de mérito, debió ordenarse el Acuerdo de Clasificación como Confidencial así como, para el Resolutivo Cuarto, no se debieron invocar los artículos 159 y 160 de la Ley General de Transparencia y Acceso a la Información Pública en el resolutivo CUARTO de la resolución ya que de las constancias del expediente no se advierten actos que encuadren en los supuestos legales señalados.</w:t>
      </w:r>
    </w:p>
    <w:p w:rsidR="00092494" w:rsidRDefault="00092494" w:rsidP="00523BDB">
      <w:pPr>
        <w:spacing w:before="100" w:beforeAutospacing="1" w:after="100" w:afterAutospacing="1" w:line="360" w:lineRule="auto"/>
        <w:jc w:val="both"/>
        <w:rPr>
          <w:rFonts w:ascii="Palatino Linotype" w:hAnsi="Palatino Linotype" w:cs="Arial"/>
        </w:rPr>
      </w:pPr>
    </w:p>
    <w:p w:rsidR="00CF5BD0" w:rsidRDefault="00CF5BD0" w:rsidP="00523BDB">
      <w:pPr>
        <w:spacing w:before="100" w:beforeAutospacing="1" w:after="100" w:afterAutospacing="1" w:line="360" w:lineRule="auto"/>
        <w:jc w:val="both"/>
        <w:rPr>
          <w:rFonts w:ascii="Palatino Linotype" w:hAnsi="Palatino Linotype" w:cs="Arial"/>
        </w:rPr>
      </w:pPr>
    </w:p>
    <w:p w:rsidR="00CF5BD0" w:rsidRDefault="00CF5BD0" w:rsidP="00523BDB">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CC086B" w:rsidRPr="001950C9" w:rsidTr="006D7B30">
        <w:trPr>
          <w:jc w:val="center"/>
        </w:trPr>
        <w:tc>
          <w:tcPr>
            <w:tcW w:w="4393" w:type="dxa"/>
          </w:tcPr>
          <w:p w:rsidR="00CC086B" w:rsidRPr="001950C9" w:rsidRDefault="00CC086B" w:rsidP="00CF5BD0">
            <w:pPr>
              <w:jc w:val="center"/>
              <w:rPr>
                <w:rFonts w:ascii="Palatino Linotype" w:hAnsi="Palatino Linotype"/>
                <w:b/>
              </w:rPr>
            </w:pPr>
            <w:r w:rsidRPr="001950C9">
              <w:rPr>
                <w:rFonts w:ascii="Palatino Linotype" w:hAnsi="Palatino Linotype"/>
                <w:b/>
              </w:rPr>
              <w:t>EVA ABAID YAPUR</w:t>
            </w:r>
          </w:p>
          <w:p w:rsidR="00CC086B" w:rsidRDefault="00CC086B" w:rsidP="00CF5BD0">
            <w:pPr>
              <w:jc w:val="center"/>
              <w:rPr>
                <w:rFonts w:ascii="Palatino Linotype" w:hAnsi="Palatino Linotype"/>
                <w:b/>
              </w:rPr>
            </w:pPr>
            <w:r w:rsidRPr="001950C9">
              <w:rPr>
                <w:rFonts w:ascii="Palatino Linotype" w:hAnsi="Palatino Linotype"/>
                <w:b/>
              </w:rPr>
              <w:t>COMISIONADA</w:t>
            </w:r>
          </w:p>
          <w:p w:rsidR="00B60162" w:rsidRPr="001950C9" w:rsidRDefault="00B60162" w:rsidP="00CF5BD0">
            <w:pPr>
              <w:jc w:val="center"/>
              <w:rPr>
                <w:rFonts w:ascii="Palatino Linotype" w:hAnsi="Palatino Linotype"/>
                <w:b/>
              </w:rPr>
            </w:pPr>
            <w:r>
              <w:rPr>
                <w:rFonts w:ascii="Palatino Linotype" w:hAnsi="Palatino Linotype" w:cs="Arial"/>
                <w:b/>
              </w:rPr>
              <w:t>(RÚBRICA)</w:t>
            </w:r>
            <w:bookmarkStart w:id="0" w:name="_GoBack"/>
            <w:bookmarkEnd w:id="0"/>
          </w:p>
        </w:tc>
      </w:tr>
    </w:tbl>
    <w:p w:rsidR="00CF5BD0" w:rsidRDefault="00CF5BD0" w:rsidP="00CF5BD0">
      <w:pPr>
        <w:jc w:val="both"/>
        <w:rPr>
          <w:rFonts w:ascii="Palatino Linotype" w:eastAsia="Calibri" w:hAnsi="Palatino Linotype" w:cs="Arial"/>
          <w:color w:val="000000" w:themeColor="text1"/>
          <w:sz w:val="20"/>
          <w:szCs w:val="20"/>
        </w:rPr>
      </w:pPr>
    </w:p>
    <w:p w:rsidR="00CF5BD0" w:rsidRDefault="00CF5BD0" w:rsidP="00CF5BD0">
      <w:pPr>
        <w:jc w:val="both"/>
        <w:rPr>
          <w:rFonts w:ascii="Palatino Linotype" w:eastAsia="Calibri" w:hAnsi="Palatino Linotype" w:cs="Arial"/>
          <w:color w:val="000000" w:themeColor="text1"/>
          <w:sz w:val="20"/>
          <w:szCs w:val="20"/>
        </w:rPr>
      </w:pPr>
    </w:p>
    <w:p w:rsidR="00CF5BD0" w:rsidRDefault="00CF5BD0" w:rsidP="00CF5BD0">
      <w:pPr>
        <w:jc w:val="both"/>
        <w:rPr>
          <w:rFonts w:ascii="Palatino Linotype" w:eastAsia="Calibri" w:hAnsi="Palatino Linotype" w:cs="Arial"/>
          <w:color w:val="000000" w:themeColor="text1"/>
          <w:sz w:val="20"/>
          <w:szCs w:val="20"/>
        </w:rPr>
      </w:pPr>
    </w:p>
    <w:p w:rsidR="00CC086B" w:rsidRDefault="00CC086B" w:rsidP="00CF5BD0">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523BDB">
        <w:rPr>
          <w:rFonts w:ascii="Palatino Linotype" w:eastAsia="Calibri" w:hAnsi="Palatino Linotype" w:cs="Arial"/>
          <w:color w:val="000000" w:themeColor="text1"/>
          <w:sz w:val="20"/>
          <w:szCs w:val="20"/>
        </w:rPr>
        <w:t>2556</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523BDB">
        <w:rPr>
          <w:rFonts w:ascii="Palatino Linotype" w:eastAsia="Calibri" w:hAnsi="Palatino Linotype" w:cs="Arial"/>
          <w:color w:val="000000" w:themeColor="text1"/>
          <w:sz w:val="20"/>
          <w:szCs w:val="20"/>
        </w:rPr>
        <w:t>veintiséis de septiembre</w:t>
      </w:r>
      <w:r>
        <w:rPr>
          <w:rFonts w:ascii="Palatino Linotype" w:eastAsia="Calibri" w:hAnsi="Palatino Linotype" w:cs="Arial"/>
          <w:color w:val="000000" w:themeColor="text1"/>
          <w:sz w:val="20"/>
          <w:szCs w:val="20"/>
        </w:rPr>
        <w:t xml:space="preserve"> de 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523BDB" w:rsidRPr="00523BDB" w:rsidRDefault="00523BDB" w:rsidP="00CF5BD0">
      <w:pPr>
        <w:jc w:val="both"/>
        <w:rPr>
          <w:rFonts w:ascii="Palatino Linotype" w:eastAsia="Calibri" w:hAnsi="Palatino Linotype" w:cs="Arial"/>
          <w:color w:val="000000" w:themeColor="text1"/>
          <w:sz w:val="10"/>
          <w:szCs w:val="10"/>
        </w:rPr>
      </w:pPr>
    </w:p>
    <w:p w:rsidR="00C23B43" w:rsidRDefault="00CC086B" w:rsidP="00CF5BD0">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r w:rsidR="00523BDB">
        <w:rPr>
          <w:rFonts w:ascii="Palatino Linotype" w:eastAsia="Calibri" w:hAnsi="Palatino Linotype" w:cs="Arial"/>
          <w:color w:val="000000" w:themeColor="text1"/>
          <w:sz w:val="18"/>
          <w:szCs w:val="18"/>
        </w:rPr>
        <w:t xml:space="preserve"> </w:t>
      </w:r>
    </w:p>
    <w:sectPr w:rsidR="00C23B43"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426" w:rsidRDefault="00BC2426" w:rsidP="00CC086B">
      <w:r>
        <w:separator/>
      </w:r>
    </w:p>
  </w:endnote>
  <w:endnote w:type="continuationSeparator" w:id="0">
    <w:p w:rsidR="00BC2426" w:rsidRDefault="00BC2426" w:rsidP="00CC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60162" w:rsidP="00DC5C4E">
    <w:pPr>
      <w:pStyle w:val="Piedepgina"/>
      <w:tabs>
        <w:tab w:val="clear" w:pos="4252"/>
        <w:tab w:val="left" w:pos="4228"/>
      </w:tabs>
      <w:rPr>
        <w:rFonts w:ascii="Palatino Linotype" w:hAnsi="Palatino Linotype" w:cs="Arial"/>
        <w:b/>
        <w:bCs/>
        <w:sz w:val="20"/>
        <w:szCs w:val="20"/>
      </w:rPr>
    </w:pPr>
  </w:p>
  <w:p w:rsidR="00CF5BD0" w:rsidRDefault="00CF5BD0" w:rsidP="00DC5C4E">
    <w:pPr>
      <w:pStyle w:val="Piedepgina"/>
      <w:tabs>
        <w:tab w:val="clear" w:pos="4252"/>
        <w:tab w:val="left" w:pos="4228"/>
      </w:tabs>
      <w:rPr>
        <w:rFonts w:ascii="Palatino Linotype" w:hAnsi="Palatino Linotype" w:cs="Arial"/>
        <w:b/>
        <w:bCs/>
        <w:sz w:val="20"/>
        <w:szCs w:val="20"/>
      </w:rPr>
    </w:pPr>
  </w:p>
  <w:p w:rsidR="00CF5BD0" w:rsidRDefault="00CF5BD0" w:rsidP="00DC5C4E">
    <w:pPr>
      <w:pStyle w:val="Piedepgina"/>
      <w:tabs>
        <w:tab w:val="clear" w:pos="4252"/>
        <w:tab w:val="left" w:pos="4228"/>
      </w:tabs>
      <w:rPr>
        <w:rFonts w:ascii="Palatino Linotype" w:hAnsi="Palatino Linotype" w:cs="Arial"/>
        <w:b/>
        <w:bCs/>
        <w:sz w:val="20"/>
        <w:szCs w:val="20"/>
      </w:rPr>
    </w:pPr>
  </w:p>
  <w:p w:rsidR="005C7C8F" w:rsidRDefault="00B60162" w:rsidP="00DC5C4E">
    <w:pPr>
      <w:pStyle w:val="Piedepgina"/>
      <w:tabs>
        <w:tab w:val="clear" w:pos="4252"/>
        <w:tab w:val="left" w:pos="4228"/>
      </w:tabs>
      <w:rPr>
        <w:rFonts w:ascii="Palatino Linotype" w:hAnsi="Palatino Linotype" w:cs="Arial"/>
        <w:b/>
        <w:bCs/>
        <w:sz w:val="20"/>
        <w:szCs w:val="20"/>
      </w:rPr>
    </w:pPr>
  </w:p>
  <w:p w:rsidR="005C7C8F" w:rsidRDefault="00B60162" w:rsidP="00DC5C4E">
    <w:pPr>
      <w:pStyle w:val="Piedepgina"/>
      <w:tabs>
        <w:tab w:val="clear" w:pos="4252"/>
        <w:tab w:val="left" w:pos="4228"/>
      </w:tabs>
      <w:rPr>
        <w:rFonts w:ascii="Palatino Linotype" w:hAnsi="Palatino Linotype" w:cs="Arial"/>
        <w:b/>
        <w:bCs/>
        <w:sz w:val="20"/>
        <w:szCs w:val="20"/>
      </w:rPr>
    </w:pPr>
  </w:p>
  <w:p w:rsidR="005C7C8F" w:rsidRDefault="00B60162" w:rsidP="00DC5C4E">
    <w:pPr>
      <w:pStyle w:val="Piedepgina"/>
      <w:rPr>
        <w:rFonts w:ascii="Palatino Linotype" w:hAnsi="Palatino Linotype" w:cs="Arial"/>
        <w:b/>
        <w:bCs/>
        <w:sz w:val="20"/>
        <w:szCs w:val="20"/>
      </w:rPr>
    </w:pPr>
  </w:p>
  <w:p w:rsidR="005C7C8F" w:rsidRPr="00F12350" w:rsidRDefault="0039088A"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60162">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60162">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B60162"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426" w:rsidRDefault="00BC2426" w:rsidP="00CC086B">
      <w:r>
        <w:separator/>
      </w:r>
    </w:p>
  </w:footnote>
  <w:footnote w:type="continuationSeparator" w:id="0">
    <w:p w:rsidR="00BC2426" w:rsidRDefault="00BC2426" w:rsidP="00CC0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6016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39088A"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648347C3" wp14:editId="1B64EC5E">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B60162" w:rsidP="00DC5C4E">
    <w:pPr>
      <w:pStyle w:val="Encabezado"/>
      <w:tabs>
        <w:tab w:val="clear" w:pos="4252"/>
        <w:tab w:val="clear" w:pos="8504"/>
        <w:tab w:val="left" w:pos="2326"/>
      </w:tabs>
      <w:jc w:val="right"/>
    </w:pPr>
  </w:p>
  <w:p w:rsidR="005C7C8F" w:rsidRDefault="0039088A"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39088A"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CC086B">
      <w:rPr>
        <w:rFonts w:ascii="Palatino Linotype" w:hAnsi="Palatino Linotype" w:cs="Arial"/>
        <w:sz w:val="20"/>
        <w:szCs w:val="20"/>
      </w:rPr>
      <w:t>2556</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B60162"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58.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6016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329"/>
    <w:multiLevelType w:val="hybridMultilevel"/>
    <w:tmpl w:val="1660DE78"/>
    <w:lvl w:ilvl="0" w:tplc="20A01E06">
      <w:start w:val="1"/>
      <w:numFmt w:val="decimal"/>
      <w:lvlText w:val="%1."/>
      <w:lvlJc w:val="left"/>
      <w:pPr>
        <w:ind w:left="644" w:hanging="360"/>
      </w:pPr>
      <w:rPr>
        <w:rFonts w:ascii="Palatino Linotype" w:eastAsia="Times New Roman" w:hAnsi="Palatino Linotype" w:cs="Arial"/>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6B"/>
    <w:rsid w:val="00014C63"/>
    <w:rsid w:val="00073E30"/>
    <w:rsid w:val="00092494"/>
    <w:rsid w:val="000F5CF7"/>
    <w:rsid w:val="001D1031"/>
    <w:rsid w:val="0039088A"/>
    <w:rsid w:val="00523BDB"/>
    <w:rsid w:val="006E6611"/>
    <w:rsid w:val="00737E85"/>
    <w:rsid w:val="008F1C73"/>
    <w:rsid w:val="00981C25"/>
    <w:rsid w:val="00B60162"/>
    <w:rsid w:val="00BC2426"/>
    <w:rsid w:val="00BC794D"/>
    <w:rsid w:val="00BC7B44"/>
    <w:rsid w:val="00C23B43"/>
    <w:rsid w:val="00C93F1D"/>
    <w:rsid w:val="00C9714C"/>
    <w:rsid w:val="00CC086B"/>
    <w:rsid w:val="00CF5BD0"/>
    <w:rsid w:val="00EC13A6"/>
    <w:rsid w:val="00F31453"/>
    <w:rsid w:val="00FC03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712F48-3D88-4DB1-9F38-768A310F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86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086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C086B"/>
    <w:rPr>
      <w:rFonts w:eastAsiaTheme="minorEastAsia"/>
      <w:sz w:val="24"/>
      <w:szCs w:val="24"/>
      <w:lang w:val="es-ES_tradnl" w:eastAsia="es-ES"/>
    </w:rPr>
  </w:style>
  <w:style w:type="paragraph" w:styleId="Piedepgina">
    <w:name w:val="footer"/>
    <w:basedOn w:val="Normal"/>
    <w:link w:val="PiedepginaCar"/>
    <w:uiPriority w:val="99"/>
    <w:unhideWhenUsed/>
    <w:rsid w:val="00CC086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C086B"/>
    <w:rPr>
      <w:rFonts w:eastAsiaTheme="minorEastAsia"/>
      <w:sz w:val="24"/>
      <w:szCs w:val="24"/>
      <w:lang w:val="es-ES_tradnl" w:eastAsia="es-ES"/>
    </w:rPr>
  </w:style>
  <w:style w:type="paragraph" w:styleId="Prrafodelista">
    <w:name w:val="List Paragraph"/>
    <w:basedOn w:val="Normal"/>
    <w:link w:val="PrrafodelistaCar"/>
    <w:uiPriority w:val="34"/>
    <w:qFormat/>
    <w:rsid w:val="008F1C73"/>
    <w:pPr>
      <w:ind w:left="720"/>
      <w:contextualSpacing/>
    </w:pPr>
  </w:style>
  <w:style w:type="character" w:customStyle="1" w:styleId="PrrafodelistaCar">
    <w:name w:val="Párrafo de lista Car"/>
    <w:link w:val="Prrafodelista"/>
    <w:uiPriority w:val="34"/>
    <w:locked/>
    <w:rsid w:val="008F1C7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7</Pages>
  <Words>1603</Words>
  <Characters>8821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2018-09-28T17:14:00Z</dcterms:created>
  <dcterms:modified xsi:type="dcterms:W3CDTF">2018-10-19T20:01:00Z</dcterms:modified>
</cp:coreProperties>
</file>